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BA192" w14:textId="77777777" w:rsidR="00EB3F83" w:rsidRPr="00EB3F83" w:rsidRDefault="00EB3F83" w:rsidP="00EB3F83">
      <w:pPr>
        <w:spacing w:line="259" w:lineRule="auto"/>
        <w:jc w:val="center"/>
        <w:rPr>
          <w:rFonts w:ascii="Century Gothic" w:eastAsia="Century Gothic" w:hAnsi="Century Gothic" w:cs="Century Gothic"/>
          <w:b/>
          <w:kern w:val="0"/>
          <w:sz w:val="28"/>
          <w:szCs w:val="28"/>
          <w:lang w:eastAsia="en-GB"/>
          <w14:ligatures w14:val="none"/>
        </w:rPr>
      </w:pPr>
      <w:r w:rsidRPr="00EB3F83">
        <w:rPr>
          <w:rFonts w:ascii="Century Gothic" w:eastAsia="Century Gothic" w:hAnsi="Century Gothic" w:cs="Century Gothic"/>
          <w:b/>
          <w:kern w:val="0"/>
          <w:sz w:val="28"/>
          <w:szCs w:val="28"/>
          <w:lang w:eastAsia="en-GB"/>
          <w14:ligatures w14:val="none"/>
        </w:rPr>
        <w:t>Curriculum Statement of Intent and Implementation:</w:t>
      </w:r>
    </w:p>
    <w:p w14:paraId="25921ACF" w14:textId="77777777" w:rsidR="00EB3F83" w:rsidRPr="00EB3F83" w:rsidRDefault="00EB3F83" w:rsidP="00EB3F83">
      <w:pPr>
        <w:spacing w:line="259" w:lineRule="auto"/>
        <w:jc w:val="center"/>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“The liberating joy found in Literature can be the source of a students’ inspiration for their view of themselves, and the world, for life” – Miss. L. Hagan (Director of English, Lyng Hall)</w:t>
      </w:r>
    </w:p>
    <w:p w14:paraId="711B3696"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r w:rsidRPr="00EB3F83">
        <w:rPr>
          <w:rFonts w:ascii="Century Gothic" w:eastAsia="Century Gothic" w:hAnsi="Century Gothic" w:cs="Century Gothic"/>
          <w:b/>
          <w:kern w:val="0"/>
          <w:lang w:eastAsia="en-GB"/>
          <w14:ligatures w14:val="none"/>
        </w:rPr>
        <w:t>5-year Curriculum:</w:t>
      </w:r>
    </w:p>
    <w:p w14:paraId="3C0A0BF5"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Our English curriculum is designed to secure the fundamental skills in year 7 to year 9. Students reiteratively look at the backbone reading and writing skills (AO1-AO6). During our course, students focus on establishing the basic skills, then building on their proficiency and ambition in these specific areas.</w:t>
      </w:r>
    </w:p>
    <w:p w14:paraId="68798C65"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Intertwined in the skill-focused lessons will be the development of key English Knowledge. Students are taught specific forms and the relevant characteristics that define them. Furthermore, they develop a knowledge bonk of word classes, literary devices, rhetoric and so on. </w:t>
      </w:r>
    </w:p>
    <w:p w14:paraId="1A0BE918"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r w:rsidRPr="00EB3F83">
        <w:rPr>
          <w:rFonts w:ascii="Century Gothic" w:eastAsia="Century Gothic" w:hAnsi="Century Gothic" w:cs="Century Gothic"/>
          <w:b/>
          <w:kern w:val="0"/>
          <w:lang w:eastAsia="en-GB"/>
          <w14:ligatures w14:val="none"/>
        </w:rPr>
        <w:t>The irrefutable necessity of English now and in the beyond:</w:t>
      </w:r>
    </w:p>
    <w:p w14:paraId="55F9EE7F"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At Lyng Hall we believe that students should have equitable access to an understanding of the English Language. Competency in this area, we believe, is the backbone to success in all subject areas, and in their future life paths. English provides one of the most significant forums for young people to learn how to communicate ideas – articulating them both verbally and in the written word. Our primary focus therefore is on raising reading age and basic literacy skills. There are 6 reading stages and 5 literacy stages which feature later in this introduction. Groups move through these to develop the relevant competency to access their target levels and navigate their intended routes.</w:t>
      </w:r>
    </w:p>
    <w:p w14:paraId="703F617D" w14:textId="77777777" w:rsidR="00EB3F83" w:rsidRPr="00EB3F83" w:rsidRDefault="00EB3F83" w:rsidP="00EB3F83">
      <w:pPr>
        <w:spacing w:line="259" w:lineRule="auto"/>
        <w:jc w:val="center"/>
        <w:rPr>
          <w:rFonts w:ascii="Century Gothic" w:eastAsia="Century Gothic" w:hAnsi="Century Gothic" w:cs="Century Gothic"/>
          <w:i/>
          <w:kern w:val="0"/>
          <w:lang w:eastAsia="en-GB"/>
          <w14:ligatures w14:val="none"/>
        </w:rPr>
      </w:pPr>
      <w:r w:rsidRPr="00EB3F83">
        <w:rPr>
          <w:rFonts w:ascii="Century Gothic" w:eastAsia="Century Gothic" w:hAnsi="Century Gothic" w:cs="Century Gothic"/>
          <w:b/>
          <w:i/>
          <w:kern w:val="0"/>
          <w:lang w:eastAsia="en-GB"/>
          <w14:ligatures w14:val="none"/>
        </w:rPr>
        <w:t>Literacy is a bridge from misery to hope. —</w:t>
      </w:r>
      <w:r w:rsidRPr="00EB3F83">
        <w:rPr>
          <w:rFonts w:ascii="Century Gothic" w:eastAsia="Century Gothic" w:hAnsi="Century Gothic" w:cs="Century Gothic"/>
          <w:i/>
          <w:kern w:val="0"/>
          <w:lang w:eastAsia="en-GB"/>
          <w14:ligatures w14:val="none"/>
        </w:rPr>
        <w:t>Kofi Annan (Ghanaian diplomat who served as the seventh Secretary-General of the United Nations, co-recipient of the 2001 Nobel Peace Prize)</w:t>
      </w:r>
    </w:p>
    <w:p w14:paraId="4A8BF311" w14:textId="77777777" w:rsidR="00EB3F83" w:rsidRPr="00EB3F83" w:rsidRDefault="00EB3F83" w:rsidP="00EB3F83">
      <w:pPr>
        <w:spacing w:line="259" w:lineRule="auto"/>
        <w:jc w:val="center"/>
        <w:rPr>
          <w:rFonts w:ascii="Century Gothic" w:eastAsia="Century Gothic" w:hAnsi="Century Gothic" w:cs="Century Gothic"/>
          <w:i/>
          <w:kern w:val="0"/>
          <w:lang w:eastAsia="en-GB"/>
          <w14:ligatures w14:val="none"/>
        </w:rPr>
      </w:pPr>
      <w:r w:rsidRPr="00EB3F83">
        <w:rPr>
          <w:rFonts w:ascii="Century Gothic" w:eastAsia="Century Gothic" w:hAnsi="Century Gothic" w:cs="Century Gothic"/>
          <w:b/>
          <w:i/>
          <w:kern w:val="0"/>
          <w:lang w:eastAsia="en-GB"/>
          <w14:ligatures w14:val="none"/>
        </w:rPr>
        <w:t>Once you learn to read, you will be forever free. —</w:t>
      </w:r>
      <w:r w:rsidRPr="00EB3F83">
        <w:rPr>
          <w:rFonts w:ascii="Century Gothic" w:eastAsia="Century Gothic" w:hAnsi="Century Gothic" w:cs="Century Gothic"/>
          <w:i/>
          <w:kern w:val="0"/>
          <w:lang w:eastAsia="en-GB"/>
          <w14:ligatures w14:val="none"/>
        </w:rPr>
        <w:t>Frederick Douglass (American social reformer, abolitionist, orator, writer, and statesman)</w:t>
      </w:r>
    </w:p>
    <w:p w14:paraId="10199247"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r w:rsidRPr="00EB3F83">
        <w:rPr>
          <w:rFonts w:ascii="Century Gothic" w:eastAsia="Century Gothic" w:hAnsi="Century Gothic" w:cs="Century Gothic"/>
          <w:b/>
          <w:kern w:val="0"/>
          <w:lang w:eastAsia="en-GB"/>
          <w14:ligatures w14:val="none"/>
        </w:rPr>
        <w:t>Effective Teaching for understanding and recall:</w:t>
      </w:r>
    </w:p>
    <w:p w14:paraId="400D6E3B"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Staff at Lyng Hall have an awareness of cognitive load theory and recognise the importance of isolating the powerful knowledge – in addition to knowing how we can drive </w:t>
      </w:r>
      <w:proofErr w:type="gramStart"/>
      <w:r w:rsidRPr="00EB3F83">
        <w:rPr>
          <w:rFonts w:ascii="Century Gothic" w:eastAsia="Century Gothic" w:hAnsi="Century Gothic" w:cs="Century Gothic"/>
          <w:kern w:val="0"/>
          <w:lang w:eastAsia="en-GB"/>
          <w14:ligatures w14:val="none"/>
        </w:rPr>
        <w:t>this forwards</w:t>
      </w:r>
      <w:proofErr w:type="gramEnd"/>
      <w:r w:rsidRPr="00EB3F83">
        <w:rPr>
          <w:rFonts w:ascii="Century Gothic" w:eastAsia="Century Gothic" w:hAnsi="Century Gothic" w:cs="Century Gothic"/>
          <w:kern w:val="0"/>
          <w:lang w:eastAsia="en-GB"/>
          <w14:ligatures w14:val="none"/>
        </w:rPr>
        <w:t xml:space="preserve"> in our curriculum. </w:t>
      </w:r>
    </w:p>
    <w:p w14:paraId="5E4AAF5D"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The English Directorate have taken </w:t>
      </w:r>
      <w:proofErr w:type="gramStart"/>
      <w:r w:rsidRPr="00EB3F83">
        <w:rPr>
          <w:rFonts w:ascii="Century Gothic" w:eastAsia="Century Gothic" w:hAnsi="Century Gothic" w:cs="Century Gothic"/>
          <w:kern w:val="0"/>
          <w:lang w:eastAsia="en-GB"/>
          <w14:ligatures w14:val="none"/>
        </w:rPr>
        <w:t>particular note</w:t>
      </w:r>
      <w:proofErr w:type="gramEnd"/>
      <w:r w:rsidRPr="00EB3F83">
        <w:rPr>
          <w:rFonts w:ascii="Century Gothic" w:eastAsia="Century Gothic" w:hAnsi="Century Gothic" w:cs="Century Gothic"/>
          <w:kern w:val="0"/>
          <w:lang w:eastAsia="en-GB"/>
          <w14:ligatures w14:val="none"/>
        </w:rPr>
        <w:t xml:space="preserve"> of the latest Journal from the </w:t>
      </w:r>
      <w:r w:rsidRPr="00EB3F83">
        <w:rPr>
          <w:rFonts w:ascii="Century Gothic" w:eastAsia="Century Gothic" w:hAnsi="Century Gothic" w:cs="Century Gothic"/>
          <w:i/>
          <w:kern w:val="0"/>
          <w:lang w:eastAsia="en-GB"/>
          <w14:ligatures w14:val="none"/>
        </w:rPr>
        <w:t>Chartered College of Teaching</w:t>
      </w:r>
      <w:r w:rsidRPr="00EB3F83">
        <w:rPr>
          <w:rFonts w:ascii="Century Gothic" w:eastAsia="Century Gothic" w:hAnsi="Century Gothic" w:cs="Century Gothic"/>
          <w:kern w:val="0"/>
          <w:lang w:eastAsia="en-GB"/>
          <w14:ligatures w14:val="none"/>
        </w:rPr>
        <w:t xml:space="preserve">.  It featured an article which dealt with top tips on avoiding cognitive overload for students with power-points.  David Smith (Assistant Head of Teaching and Learning and Teacher of English) outlines the key points to consider in our lessons. Illustrations highlight how this has been embedded within the team so </w:t>
      </w:r>
      <w:proofErr w:type="gramStart"/>
      <w:r w:rsidRPr="00EB3F83">
        <w:rPr>
          <w:rFonts w:ascii="Century Gothic" w:eastAsia="Century Gothic" w:hAnsi="Century Gothic" w:cs="Century Gothic"/>
          <w:kern w:val="0"/>
          <w:lang w:eastAsia="en-GB"/>
          <w14:ligatures w14:val="none"/>
        </w:rPr>
        <w:t>far, and</w:t>
      </w:r>
      <w:proofErr w:type="gramEnd"/>
      <w:r w:rsidRPr="00EB3F83">
        <w:rPr>
          <w:rFonts w:ascii="Century Gothic" w:eastAsia="Century Gothic" w:hAnsi="Century Gothic" w:cs="Century Gothic"/>
          <w:kern w:val="0"/>
          <w:lang w:eastAsia="en-GB"/>
          <w14:ligatures w14:val="none"/>
        </w:rPr>
        <w:t xml:space="preserve"> will continue to develop.</w:t>
      </w:r>
    </w:p>
    <w:p w14:paraId="72366C22"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lastRenderedPageBreak/>
        <w:t>1. If you are presenting pictures, diagrams and labels make sure information is in close physical proximity to related information.  This avoids split attention deficit.</w:t>
      </w:r>
    </w:p>
    <w:p w14:paraId="2CDF3D07"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2. Avoid reading out text that is on a slide.  (Unless there is a Tier 3 vocabulary word)</w:t>
      </w:r>
    </w:p>
    <w:p w14:paraId="0B3505F2"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3. Remove any distracting or superfluous images.  The only thing on the slide should be linked to powerful knowledge or something that directly supports learning.</w:t>
      </w:r>
      <w:r w:rsidRPr="00EB3F83">
        <w:rPr>
          <w:rFonts w:ascii="Calibri" w:eastAsia="Calibri" w:hAnsi="Calibri" w:cs="Calibri"/>
          <w:noProof/>
          <w:kern w:val="0"/>
          <w:sz w:val="22"/>
          <w:szCs w:val="22"/>
          <w:lang w:eastAsia="en-GB"/>
          <w14:ligatures w14:val="none"/>
        </w:rPr>
        <w:drawing>
          <wp:anchor distT="0" distB="0" distL="114300" distR="114300" simplePos="0" relativeHeight="251659264" behindDoc="0" locked="0" layoutInCell="1" hidden="0" allowOverlap="1" wp14:anchorId="14430E0A" wp14:editId="6B7E45A9">
            <wp:simplePos x="0" y="0"/>
            <wp:positionH relativeFrom="column">
              <wp:posOffset>1536065</wp:posOffset>
            </wp:positionH>
            <wp:positionV relativeFrom="paragraph">
              <wp:posOffset>318770</wp:posOffset>
            </wp:positionV>
            <wp:extent cx="4195445" cy="2359025"/>
            <wp:effectExtent l="0" t="0" r="0" b="0"/>
            <wp:wrapSquare wrapText="bothSides" distT="0" distB="0" distL="114300" distR="1143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4195445" cy="2359025"/>
                    </a:xfrm>
                    <a:prstGeom prst="rect">
                      <a:avLst/>
                    </a:prstGeom>
                    <a:ln/>
                  </pic:spPr>
                </pic:pic>
              </a:graphicData>
            </a:graphic>
          </wp:anchor>
        </w:drawing>
      </w:r>
    </w:p>
    <w:p w14:paraId="0C31C492"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4. Use images to support complex and conceptual ideas.  </w:t>
      </w:r>
    </w:p>
    <w:p w14:paraId="6C4EDC98"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5. If you are going to explain an image on a slide don’t include written text at the same time.  Students won’t take both in.</w:t>
      </w:r>
    </w:p>
    <w:p w14:paraId="28719EF8"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6. Never expect students to be reading the board, or indeed anything, if you are talking at the same time.</w:t>
      </w:r>
    </w:p>
    <w:p w14:paraId="29EC4B5D"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7. Reveal tasks, processes or stages one at a time ON THE SAME SLIDE. Not on slide after slide.</w:t>
      </w:r>
    </w:p>
    <w:p w14:paraId="6913FC42"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8. Remember that spoken words and retention of information on slides is fleeting unless then supporting by work/learning/tasks to embed knowledge.</w:t>
      </w:r>
    </w:p>
    <w:p w14:paraId="3EC16923"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9. Have you sat at the back of the room and checked information, colours, font size, literacy, where you have used complex vocabulary that needs explaining.</w:t>
      </w:r>
    </w:p>
    <w:p w14:paraId="1CEB328B"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Each </w:t>
      </w:r>
      <w:proofErr w:type="gramStart"/>
      <w:r w:rsidRPr="00EB3F83">
        <w:rPr>
          <w:rFonts w:ascii="Century Gothic" w:eastAsia="Century Gothic" w:hAnsi="Century Gothic" w:cs="Century Gothic"/>
          <w:kern w:val="0"/>
          <w:lang w:eastAsia="en-GB"/>
          <w14:ligatures w14:val="none"/>
        </w:rPr>
        <w:t>medium term</w:t>
      </w:r>
      <w:proofErr w:type="gramEnd"/>
      <w:r w:rsidRPr="00EB3F83">
        <w:rPr>
          <w:rFonts w:ascii="Century Gothic" w:eastAsia="Century Gothic" w:hAnsi="Century Gothic" w:cs="Century Gothic"/>
          <w:kern w:val="0"/>
          <w:lang w:eastAsia="en-GB"/>
          <w14:ligatures w14:val="none"/>
        </w:rPr>
        <w:t xml:space="preserve"> scheme sets out the threshold and horizon skill that is the aim for that block of learning. These skills are repeated at least three times through KS3 to ensure the learning is deepened and refined. Within the schemes, </w:t>
      </w:r>
      <w:proofErr w:type="spellStart"/>
      <w:r w:rsidRPr="00EB3F83">
        <w:rPr>
          <w:rFonts w:ascii="Century Gothic" w:eastAsia="Century Gothic" w:hAnsi="Century Gothic" w:cs="Century Gothic"/>
          <w:kern w:val="0"/>
          <w:lang w:eastAsia="en-GB"/>
          <w14:ligatures w14:val="none"/>
        </w:rPr>
        <w:t>bespokely</w:t>
      </w:r>
      <w:proofErr w:type="spellEnd"/>
      <w:r w:rsidRPr="00EB3F83">
        <w:rPr>
          <w:rFonts w:ascii="Century Gothic" w:eastAsia="Century Gothic" w:hAnsi="Century Gothic" w:cs="Century Gothic"/>
          <w:kern w:val="0"/>
          <w:lang w:eastAsia="en-GB"/>
          <w14:ligatures w14:val="none"/>
        </w:rPr>
        <w:t xml:space="preserve"> shaped to each group, each lesson has a specific threshold and horizon ‘Big Ideas’ question. These collectively work together to ensure the overarching skills aim is met. These horizon skills are stepped to constantly challenge the students towards a future goal.</w:t>
      </w:r>
    </w:p>
    <w:p w14:paraId="05FEB546"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p>
    <w:p w14:paraId="177CE971"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p>
    <w:p w14:paraId="2E145191"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r w:rsidRPr="00EB3F83">
        <w:rPr>
          <w:rFonts w:ascii="Century Gothic" w:eastAsia="Century Gothic" w:hAnsi="Century Gothic" w:cs="Century Gothic"/>
          <w:b/>
          <w:kern w:val="0"/>
          <w:lang w:eastAsia="en-GB"/>
          <w14:ligatures w14:val="none"/>
        </w:rPr>
        <w:lastRenderedPageBreak/>
        <w:t>Developing Cultural Capital – an enriching curriculum</w:t>
      </w:r>
    </w:p>
    <w:p w14:paraId="5C8A0662"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A particular concern of the directorate is to promote a cultural understanding of both </w:t>
      </w:r>
      <w:proofErr w:type="gramStart"/>
      <w:r w:rsidRPr="00EB3F83">
        <w:rPr>
          <w:rFonts w:ascii="Century Gothic" w:eastAsia="Century Gothic" w:hAnsi="Century Gothic" w:cs="Century Gothic"/>
          <w:kern w:val="0"/>
          <w:lang w:eastAsia="en-GB"/>
          <w14:ligatures w14:val="none"/>
        </w:rPr>
        <w:t>self</w:t>
      </w:r>
      <w:proofErr w:type="gramEnd"/>
      <w:r w:rsidRPr="00EB3F83">
        <w:rPr>
          <w:rFonts w:ascii="Century Gothic" w:eastAsia="Century Gothic" w:hAnsi="Century Gothic" w:cs="Century Gothic"/>
          <w:kern w:val="0"/>
          <w:lang w:eastAsia="en-GB"/>
          <w14:ligatures w14:val="none"/>
        </w:rPr>
        <w:t xml:space="preserve">, and the world. </w:t>
      </w:r>
      <w:proofErr w:type="gramStart"/>
      <w:r w:rsidRPr="00EB3F83">
        <w:rPr>
          <w:rFonts w:ascii="Century Gothic" w:eastAsia="Century Gothic" w:hAnsi="Century Gothic" w:cs="Century Gothic"/>
          <w:kern w:val="0"/>
          <w:lang w:eastAsia="en-GB"/>
          <w14:ligatures w14:val="none"/>
        </w:rPr>
        <w:t>In order to</w:t>
      </w:r>
      <w:proofErr w:type="gramEnd"/>
      <w:r w:rsidRPr="00EB3F83">
        <w:rPr>
          <w:rFonts w:ascii="Century Gothic" w:eastAsia="Century Gothic" w:hAnsi="Century Gothic" w:cs="Century Gothic"/>
          <w:kern w:val="0"/>
          <w:lang w:eastAsia="en-GB"/>
          <w14:ligatures w14:val="none"/>
        </w:rPr>
        <w:t xml:space="preserve"> achieve this complex </w:t>
      </w:r>
      <w:proofErr w:type="gramStart"/>
      <w:r w:rsidRPr="00EB3F83">
        <w:rPr>
          <w:rFonts w:ascii="Century Gothic" w:eastAsia="Century Gothic" w:hAnsi="Century Gothic" w:cs="Century Gothic"/>
          <w:kern w:val="0"/>
          <w:lang w:eastAsia="en-GB"/>
          <w14:ligatures w14:val="none"/>
        </w:rPr>
        <w:t>outcome</w:t>
      </w:r>
      <w:proofErr w:type="gramEnd"/>
      <w:r w:rsidRPr="00EB3F83">
        <w:rPr>
          <w:rFonts w:ascii="Century Gothic" w:eastAsia="Century Gothic" w:hAnsi="Century Gothic" w:cs="Century Gothic"/>
          <w:kern w:val="0"/>
          <w:lang w:eastAsia="en-GB"/>
          <w14:ligatures w14:val="none"/>
        </w:rPr>
        <w:t xml:space="preserve"> the curriculum looks to repeatedly explore some challenging </w:t>
      </w:r>
      <w:proofErr w:type="gramStart"/>
      <w:r w:rsidRPr="00EB3F83">
        <w:rPr>
          <w:rFonts w:ascii="Century Gothic" w:eastAsia="Century Gothic" w:hAnsi="Century Gothic" w:cs="Century Gothic"/>
          <w:kern w:val="0"/>
          <w:lang w:eastAsia="en-GB"/>
          <w14:ligatures w14:val="none"/>
        </w:rPr>
        <w:t>concepts, and</w:t>
      </w:r>
      <w:proofErr w:type="gramEnd"/>
      <w:r w:rsidRPr="00EB3F83">
        <w:rPr>
          <w:rFonts w:ascii="Century Gothic" w:eastAsia="Century Gothic" w:hAnsi="Century Gothic" w:cs="Century Gothic"/>
          <w:kern w:val="0"/>
          <w:lang w:eastAsia="en-GB"/>
          <w14:ligatures w14:val="none"/>
        </w:rPr>
        <w:t xml:space="preserve"> provide students with the forum not only to begin their understanding of them, but additionally to articulate their individual responses to them. This journey of interpretation is reflected in both the curriculum and the enrichment programme. Why?</w:t>
      </w:r>
    </w:p>
    <w:p w14:paraId="3623CE38" w14:textId="77777777" w:rsidR="00EB3F83" w:rsidRPr="00EB3F83" w:rsidRDefault="00EB3F83" w:rsidP="00EB3F83">
      <w:pPr>
        <w:spacing w:line="259" w:lineRule="auto"/>
        <w:jc w:val="center"/>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“To establish stable schemas in students’ long-term memory that reduce cognitive load” (Mary Myatt, </w:t>
      </w:r>
      <w:r w:rsidRPr="00EB3F83">
        <w:rPr>
          <w:rFonts w:ascii="Century Gothic" w:eastAsia="Century Gothic" w:hAnsi="Century Gothic" w:cs="Century Gothic"/>
          <w:i/>
          <w:kern w:val="0"/>
          <w:lang w:eastAsia="en-GB"/>
          <w14:ligatures w14:val="none"/>
        </w:rPr>
        <w:t xml:space="preserve">The Curriculum, </w:t>
      </w:r>
      <w:r w:rsidRPr="00EB3F83">
        <w:rPr>
          <w:rFonts w:ascii="Century Gothic" w:eastAsia="Century Gothic" w:hAnsi="Century Gothic" w:cs="Century Gothic"/>
          <w:kern w:val="0"/>
          <w:lang w:eastAsia="en-GB"/>
          <w14:ligatures w14:val="none"/>
        </w:rPr>
        <w:t>2018)</w:t>
      </w:r>
    </w:p>
    <w:p w14:paraId="16AB1469" w14:textId="77777777" w:rsidR="00EB3F83" w:rsidRPr="00EB3F83" w:rsidRDefault="00EB3F83" w:rsidP="00EB3F83">
      <w:pPr>
        <w:spacing w:line="259" w:lineRule="auto"/>
        <w:jc w:val="center"/>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“Cultural capital takes one tangible form: a pupil’s vocabulary” (Matthew Bromley, ‘Pupil Premium: closing the vocabulary gap </w:t>
      </w:r>
      <w:r w:rsidRPr="00EB3F83">
        <w:rPr>
          <w:rFonts w:ascii="Century Gothic" w:eastAsia="Century Gothic" w:hAnsi="Century Gothic" w:cs="Century Gothic"/>
          <w:i/>
          <w:kern w:val="0"/>
          <w:lang w:eastAsia="en-GB"/>
          <w14:ligatures w14:val="none"/>
        </w:rPr>
        <w:t xml:space="preserve">SecEd, </w:t>
      </w:r>
      <w:r w:rsidRPr="00EB3F83">
        <w:rPr>
          <w:rFonts w:ascii="Century Gothic" w:eastAsia="Century Gothic" w:hAnsi="Century Gothic" w:cs="Century Gothic"/>
          <w:kern w:val="0"/>
          <w:lang w:eastAsia="en-GB"/>
          <w14:ligatures w14:val="none"/>
        </w:rPr>
        <w:t>2018)</w:t>
      </w:r>
    </w:p>
    <w:p w14:paraId="3C3AC05C" w14:textId="77777777" w:rsidR="00EB3F83" w:rsidRPr="00EB3F83" w:rsidRDefault="00EB3F83" w:rsidP="00EB3F83">
      <w:pPr>
        <w:spacing w:line="259" w:lineRule="auto"/>
        <w:jc w:val="center"/>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 xml:space="preserve">“To provide students with Hirsch’s ‘mental Velcro.’ (Josie Stacks, </w:t>
      </w:r>
      <w:proofErr w:type="gramStart"/>
      <w:r w:rsidRPr="00EB3F83">
        <w:rPr>
          <w:rFonts w:ascii="Century Gothic" w:eastAsia="Century Gothic" w:hAnsi="Century Gothic" w:cs="Century Gothic"/>
          <w:i/>
          <w:kern w:val="0"/>
          <w:lang w:eastAsia="en-GB"/>
          <w14:ligatures w14:val="none"/>
        </w:rPr>
        <w:t>Is</w:t>
      </w:r>
      <w:proofErr w:type="gramEnd"/>
      <w:r w:rsidRPr="00EB3F83">
        <w:rPr>
          <w:rFonts w:ascii="Century Gothic" w:eastAsia="Century Gothic" w:hAnsi="Century Gothic" w:cs="Century Gothic"/>
          <w:i/>
          <w:kern w:val="0"/>
          <w:lang w:eastAsia="en-GB"/>
          <w14:ligatures w14:val="none"/>
        </w:rPr>
        <w:t xml:space="preserve"> this presumed knowledge which I see before me? </w:t>
      </w:r>
      <w:r w:rsidRPr="00EB3F83">
        <w:rPr>
          <w:rFonts w:ascii="Century Gothic" w:eastAsia="Century Gothic" w:hAnsi="Century Gothic" w:cs="Century Gothic"/>
          <w:kern w:val="0"/>
          <w:lang w:eastAsia="en-GB"/>
          <w14:ligatures w14:val="none"/>
        </w:rPr>
        <w:t>2019)</w:t>
      </w:r>
    </w:p>
    <w:p w14:paraId="34F25673"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r w:rsidRPr="00EB3F83">
        <w:rPr>
          <w:rFonts w:ascii="Century Gothic" w:eastAsia="Century Gothic" w:hAnsi="Century Gothic" w:cs="Century Gothic"/>
          <w:kern w:val="0"/>
          <w:lang w:eastAsia="en-GB"/>
          <w14:ligatures w14:val="none"/>
        </w:rPr>
        <w:t>The table highlights one possible journey a student’s understanding can follow on one concept. In different ways, the ideas are revisited to not only concept but to broaden, and deepen, an understanding of how these patterns are observed in the world. More specifically how Literature is essentially a portal we can use to interpret the world through time.</w:t>
      </w:r>
    </w:p>
    <w:tbl>
      <w:tblPr>
        <w:tblW w:w="919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0"/>
        <w:gridCol w:w="1379"/>
        <w:gridCol w:w="1692"/>
        <w:gridCol w:w="1656"/>
        <w:gridCol w:w="1410"/>
        <w:gridCol w:w="1480"/>
      </w:tblGrid>
      <w:tr w:rsidR="00EB3F83" w:rsidRPr="00EB3F83" w14:paraId="377B7D0E" w14:textId="77777777" w:rsidTr="00EB3F83">
        <w:trPr>
          <w:trHeight w:val="655"/>
        </w:trPr>
        <w:tc>
          <w:tcPr>
            <w:tcW w:w="1580" w:type="dxa"/>
            <w:shd w:val="clear" w:color="auto" w:fill="D9D9D9"/>
          </w:tcPr>
          <w:p w14:paraId="4FEB4920" w14:textId="77777777" w:rsidR="00EB3F83" w:rsidRPr="00EB3F83" w:rsidRDefault="00EB3F83" w:rsidP="00EB3F83">
            <w:pPr>
              <w:spacing w:after="0" w:line="240" w:lineRule="auto"/>
              <w:jc w:val="center"/>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CURRICULUM COHESION</w:t>
            </w:r>
          </w:p>
        </w:tc>
        <w:tc>
          <w:tcPr>
            <w:tcW w:w="1379" w:type="dxa"/>
            <w:shd w:val="clear" w:color="auto" w:fill="D9D9D9"/>
          </w:tcPr>
          <w:p w14:paraId="1061382E" w14:textId="77777777" w:rsidR="00EB3F83" w:rsidRPr="00EB3F83" w:rsidRDefault="00EB3F83" w:rsidP="00EB3F83">
            <w:pPr>
              <w:spacing w:after="0" w:line="240" w:lineRule="auto"/>
              <w:jc w:val="center"/>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Unifying concepts</w:t>
            </w:r>
          </w:p>
        </w:tc>
        <w:tc>
          <w:tcPr>
            <w:tcW w:w="1692" w:type="dxa"/>
            <w:shd w:val="clear" w:color="auto" w:fill="D9D9D9"/>
          </w:tcPr>
          <w:p w14:paraId="7CB4F13B" w14:textId="77777777" w:rsidR="00EB3F83" w:rsidRPr="00EB3F83" w:rsidRDefault="00EB3F83" w:rsidP="00EB3F83">
            <w:pPr>
              <w:spacing w:after="0" w:line="240" w:lineRule="auto"/>
              <w:jc w:val="center"/>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Mental scaffolding</w:t>
            </w:r>
          </w:p>
        </w:tc>
        <w:tc>
          <w:tcPr>
            <w:tcW w:w="1656" w:type="dxa"/>
            <w:shd w:val="clear" w:color="auto" w:fill="D9D9D9"/>
          </w:tcPr>
          <w:p w14:paraId="4497714C" w14:textId="77777777" w:rsidR="00EB3F83" w:rsidRPr="00EB3F83" w:rsidRDefault="00EB3F83" w:rsidP="00EB3F83">
            <w:pPr>
              <w:spacing w:after="0" w:line="240" w:lineRule="auto"/>
              <w:jc w:val="center"/>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Cultural literacy</w:t>
            </w:r>
          </w:p>
        </w:tc>
        <w:tc>
          <w:tcPr>
            <w:tcW w:w="1410" w:type="dxa"/>
            <w:shd w:val="clear" w:color="auto" w:fill="D9D9D9"/>
          </w:tcPr>
          <w:p w14:paraId="00E25D09" w14:textId="77777777" w:rsidR="00EB3F83" w:rsidRPr="00EB3F83" w:rsidRDefault="00EB3F83" w:rsidP="00EB3F83">
            <w:pPr>
              <w:spacing w:after="0" w:line="240" w:lineRule="auto"/>
              <w:jc w:val="center"/>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Broader vocabulary</w:t>
            </w:r>
          </w:p>
        </w:tc>
        <w:tc>
          <w:tcPr>
            <w:tcW w:w="1480" w:type="dxa"/>
            <w:shd w:val="clear" w:color="auto" w:fill="D9D9D9"/>
          </w:tcPr>
          <w:p w14:paraId="0717CF61" w14:textId="77777777" w:rsidR="00EB3F83" w:rsidRPr="00EB3F83" w:rsidRDefault="00EB3F83" w:rsidP="00EB3F83">
            <w:pPr>
              <w:spacing w:after="0" w:line="240" w:lineRule="auto"/>
              <w:jc w:val="center"/>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Powerful Knowledge to be recalled</w:t>
            </w:r>
          </w:p>
        </w:tc>
      </w:tr>
      <w:tr w:rsidR="00EB3F83" w:rsidRPr="00EB3F83" w14:paraId="63F0C5F0" w14:textId="77777777" w:rsidTr="00EB3F83">
        <w:trPr>
          <w:trHeight w:val="1073"/>
        </w:trPr>
        <w:tc>
          <w:tcPr>
            <w:tcW w:w="1580" w:type="dxa"/>
          </w:tcPr>
          <w:p w14:paraId="177945A3"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 xml:space="preserve">Writing Wrongs – </w:t>
            </w:r>
          </w:p>
          <w:p w14:paraId="22713B35"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Year 7-8</w:t>
            </w:r>
          </w:p>
          <w:p w14:paraId="6CF9348C"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p>
          <w:p w14:paraId="2F61C5F6"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p>
          <w:p w14:paraId="54F445CF"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p>
          <w:p w14:paraId="3A26EF11"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p>
          <w:p w14:paraId="02AE22FD"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p>
        </w:tc>
        <w:tc>
          <w:tcPr>
            <w:tcW w:w="1379" w:type="dxa"/>
          </w:tcPr>
          <w:p w14:paraId="6D810625"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Inequality</w:t>
            </w:r>
          </w:p>
          <w:p w14:paraId="09D5A92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Injustice</w:t>
            </w:r>
          </w:p>
          <w:p w14:paraId="64C7741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Totalitarian</w:t>
            </w:r>
          </w:p>
          <w:p w14:paraId="52BC98C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Communism</w:t>
            </w:r>
          </w:p>
          <w:p w14:paraId="283DD3A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Oppression</w:t>
            </w:r>
          </w:p>
          <w:p w14:paraId="66ED5A79"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Socialism</w:t>
            </w:r>
          </w:p>
          <w:p w14:paraId="3AB4C5A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Capitalism</w:t>
            </w:r>
          </w:p>
          <w:p w14:paraId="440E53A8"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c>
          <w:tcPr>
            <w:tcW w:w="1692" w:type="dxa"/>
          </w:tcPr>
          <w:p w14:paraId="74AC274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 believe this …</w:t>
            </w:r>
          </w:p>
          <w:p w14:paraId="0B6BA11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Exposing this idea…</w:t>
            </w:r>
          </w:p>
          <w:p w14:paraId="3B0ECDBC"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Articulating perspectives:</w:t>
            </w:r>
          </w:p>
          <w:p w14:paraId="41F786D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State</w:t>
            </w:r>
          </w:p>
          <w:p w14:paraId="4FFD461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Justify</w:t>
            </w:r>
          </w:p>
          <w:p w14:paraId="4275D118"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Apply</w:t>
            </w:r>
          </w:p>
        </w:tc>
        <w:tc>
          <w:tcPr>
            <w:tcW w:w="1656" w:type="dxa"/>
          </w:tcPr>
          <w:p w14:paraId="3CE3542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Develop awareness/</w:t>
            </w:r>
            <w:r w:rsidRPr="00EB3F83">
              <w:rPr>
                <w:rFonts w:ascii="Calibri" w:eastAsia="Calibri" w:hAnsi="Calibri" w:cs="Calibri"/>
                <w:kern w:val="0"/>
                <w:sz w:val="22"/>
                <w:szCs w:val="22"/>
                <w:highlight w:val="yellow"/>
                <w:lang w:eastAsia="en-GB"/>
                <w14:ligatures w14:val="none"/>
              </w:rPr>
              <w:t>share opinions of global issues</w:t>
            </w:r>
          </w:p>
        </w:tc>
        <w:tc>
          <w:tcPr>
            <w:tcW w:w="1410" w:type="dxa"/>
          </w:tcPr>
          <w:p w14:paraId="7820D647"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Perspective</w:t>
            </w:r>
          </w:p>
          <w:p w14:paraId="1EC947C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Interpretation</w:t>
            </w:r>
          </w:p>
        </w:tc>
        <w:tc>
          <w:tcPr>
            <w:tcW w:w="1480" w:type="dxa"/>
          </w:tcPr>
          <w:p w14:paraId="2AD332A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Types of conflict</w:t>
            </w:r>
          </w:p>
          <w:p w14:paraId="034ADB3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Concepts of power </w:t>
            </w:r>
          </w:p>
          <w:p w14:paraId="69C9208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Social responsibilities</w:t>
            </w:r>
          </w:p>
        </w:tc>
      </w:tr>
      <w:tr w:rsidR="00EB3F83" w:rsidRPr="00EB3F83" w14:paraId="628C085D" w14:textId="77777777" w:rsidTr="00EB3F83">
        <w:trPr>
          <w:trHeight w:val="1072"/>
        </w:trPr>
        <w:tc>
          <w:tcPr>
            <w:tcW w:w="1580" w:type="dxa"/>
          </w:tcPr>
          <w:p w14:paraId="26E66733"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 xml:space="preserve">Historical </w:t>
            </w:r>
            <w:proofErr w:type="gramStart"/>
            <w:r w:rsidRPr="00EB3F83">
              <w:rPr>
                <w:rFonts w:ascii="Calibri" w:eastAsia="Calibri" w:hAnsi="Calibri" w:cs="Calibri"/>
                <w:b/>
                <w:kern w:val="0"/>
                <w:sz w:val="22"/>
                <w:szCs w:val="22"/>
                <w:lang w:eastAsia="en-GB"/>
                <w14:ligatures w14:val="none"/>
              </w:rPr>
              <w:t>Non-Fiction</w:t>
            </w:r>
            <w:proofErr w:type="gramEnd"/>
            <w:r w:rsidRPr="00EB3F83">
              <w:rPr>
                <w:rFonts w:ascii="Calibri" w:eastAsia="Calibri" w:hAnsi="Calibri" w:cs="Calibri"/>
                <w:b/>
                <w:kern w:val="0"/>
                <w:sz w:val="22"/>
                <w:szCs w:val="22"/>
                <w:lang w:eastAsia="en-GB"/>
                <w14:ligatures w14:val="none"/>
              </w:rPr>
              <w:t xml:space="preserve"> – </w:t>
            </w:r>
          </w:p>
          <w:p w14:paraId="7011CF4A"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Year 8</w:t>
            </w:r>
          </w:p>
        </w:tc>
        <w:tc>
          <w:tcPr>
            <w:tcW w:w="1379" w:type="dxa"/>
          </w:tcPr>
          <w:p w14:paraId="764A39D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Social Injustice</w:t>
            </w:r>
          </w:p>
          <w:p w14:paraId="18993BE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Class System</w:t>
            </w:r>
          </w:p>
          <w:p w14:paraId="499AF3B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Gender equality</w:t>
            </w:r>
          </w:p>
          <w:p w14:paraId="588395AE"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Inequality</w:t>
            </w:r>
          </w:p>
          <w:p w14:paraId="4B121FE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Types of war and conflict</w:t>
            </w:r>
          </w:p>
          <w:p w14:paraId="115DFB9E"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Racism</w:t>
            </w:r>
          </w:p>
          <w:p w14:paraId="5D8AA00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c>
          <w:tcPr>
            <w:tcW w:w="1692" w:type="dxa"/>
          </w:tcPr>
          <w:p w14:paraId="2A2B3A1D"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 can observe…</w:t>
            </w:r>
          </w:p>
          <w:p w14:paraId="57613C2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 xml:space="preserve">If we contrast </w:t>
            </w:r>
            <w:proofErr w:type="gramStart"/>
            <w:r w:rsidRPr="00EB3F83">
              <w:rPr>
                <w:rFonts w:ascii="Calibri" w:eastAsia="Calibri" w:hAnsi="Calibri" w:cs="Calibri"/>
                <w:kern w:val="0"/>
                <w:sz w:val="22"/>
                <w:szCs w:val="22"/>
                <w:highlight w:val="yellow"/>
                <w:lang w:eastAsia="en-GB"/>
                <w14:ligatures w14:val="none"/>
              </w:rPr>
              <w:t>centuries</w:t>
            </w:r>
            <w:proofErr w:type="gramEnd"/>
            <w:r w:rsidRPr="00EB3F83">
              <w:rPr>
                <w:rFonts w:ascii="Calibri" w:eastAsia="Calibri" w:hAnsi="Calibri" w:cs="Calibri"/>
                <w:kern w:val="0"/>
                <w:sz w:val="22"/>
                <w:szCs w:val="22"/>
                <w:highlight w:val="yellow"/>
                <w:lang w:eastAsia="en-GB"/>
                <w14:ligatures w14:val="none"/>
              </w:rPr>
              <w:t xml:space="preserve"> it is possible to see…</w:t>
            </w:r>
          </w:p>
          <w:p w14:paraId="484CB6C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Observing repeating patterns between different eras…</w:t>
            </w:r>
          </w:p>
        </w:tc>
        <w:tc>
          <w:tcPr>
            <w:tcW w:w="1656" w:type="dxa"/>
          </w:tcPr>
          <w:p w14:paraId="420C9C47"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Cyclical nature of history</w:t>
            </w:r>
          </w:p>
          <w:p w14:paraId="78D41B2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p w14:paraId="7C23367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Develop awareness of injustice for specific races/religions</w:t>
            </w:r>
          </w:p>
          <w:p w14:paraId="6DEE023E"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p w14:paraId="5ED9049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Global issues in different eras of time</w:t>
            </w:r>
          </w:p>
        </w:tc>
        <w:tc>
          <w:tcPr>
            <w:tcW w:w="1410" w:type="dxa"/>
          </w:tcPr>
          <w:p w14:paraId="4691659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Historical significance</w:t>
            </w:r>
          </w:p>
          <w:p w14:paraId="52F2A10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Patterns in history</w:t>
            </w:r>
          </w:p>
          <w:p w14:paraId="41176CB8"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Observe </w:t>
            </w:r>
          </w:p>
          <w:p w14:paraId="3AB2A204"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Perspective</w:t>
            </w:r>
          </w:p>
          <w:p w14:paraId="71FE3EC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c>
          <w:tcPr>
            <w:tcW w:w="1480" w:type="dxa"/>
          </w:tcPr>
          <w:p w14:paraId="41BA610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Class systems</w:t>
            </w:r>
          </w:p>
          <w:p w14:paraId="26285CF9"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Political systems</w:t>
            </w:r>
          </w:p>
          <w:p w14:paraId="75838EB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Social responsibilities</w:t>
            </w:r>
          </w:p>
          <w:p w14:paraId="53076058"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Types of war and conflict</w:t>
            </w:r>
          </w:p>
          <w:p w14:paraId="5D07E3A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p w14:paraId="12B5C67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r>
      <w:tr w:rsidR="00EB3F83" w:rsidRPr="00EB3F83" w14:paraId="069C39AE" w14:textId="77777777" w:rsidTr="00EB3F83">
        <w:trPr>
          <w:trHeight w:val="204"/>
        </w:trPr>
        <w:tc>
          <w:tcPr>
            <w:tcW w:w="1580" w:type="dxa"/>
          </w:tcPr>
          <w:p w14:paraId="3129D404"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19</w:t>
            </w:r>
            <w:r w:rsidRPr="00EB3F83">
              <w:rPr>
                <w:rFonts w:ascii="Calibri" w:eastAsia="Calibri" w:hAnsi="Calibri" w:cs="Calibri"/>
                <w:b/>
                <w:kern w:val="0"/>
                <w:sz w:val="22"/>
                <w:szCs w:val="22"/>
                <w:vertAlign w:val="superscript"/>
                <w:lang w:eastAsia="en-GB"/>
                <w14:ligatures w14:val="none"/>
              </w:rPr>
              <w:t>th</w:t>
            </w:r>
            <w:r w:rsidRPr="00EB3F83">
              <w:rPr>
                <w:rFonts w:ascii="Calibri" w:eastAsia="Calibri" w:hAnsi="Calibri" w:cs="Calibri"/>
                <w:b/>
                <w:kern w:val="0"/>
                <w:sz w:val="22"/>
                <w:szCs w:val="22"/>
                <w:lang w:eastAsia="en-GB"/>
                <w14:ligatures w14:val="none"/>
              </w:rPr>
              <w:t xml:space="preserve"> Century – </w:t>
            </w:r>
          </w:p>
          <w:p w14:paraId="2CB77D70"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Year 8</w:t>
            </w:r>
          </w:p>
        </w:tc>
        <w:tc>
          <w:tcPr>
            <w:tcW w:w="1379" w:type="dxa"/>
          </w:tcPr>
          <w:p w14:paraId="1653FF5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Inequality</w:t>
            </w:r>
          </w:p>
          <w:p w14:paraId="2F7680CC"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Injustice</w:t>
            </w:r>
          </w:p>
          <w:p w14:paraId="7037D8B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lastRenderedPageBreak/>
              <w:t>Poverty</w:t>
            </w:r>
          </w:p>
          <w:p w14:paraId="2980DC3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Class systems</w:t>
            </w:r>
          </w:p>
          <w:p w14:paraId="4F8BE7D7"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Gothic conventions</w:t>
            </w:r>
          </w:p>
          <w:p w14:paraId="454A0B1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Religion</w:t>
            </w:r>
          </w:p>
          <w:p w14:paraId="4498E925"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Atheism</w:t>
            </w:r>
          </w:p>
          <w:p w14:paraId="3934FE38"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Evolution of Science</w:t>
            </w:r>
          </w:p>
          <w:p w14:paraId="410972A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Spiritualism</w:t>
            </w:r>
          </w:p>
          <w:p w14:paraId="22802F0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Capitalism</w:t>
            </w:r>
          </w:p>
          <w:p w14:paraId="2A983E5D"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Socialism</w:t>
            </w:r>
          </w:p>
          <w:p w14:paraId="2D9D391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Oppression</w:t>
            </w:r>
          </w:p>
          <w:p w14:paraId="03A345B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Darwinism</w:t>
            </w:r>
          </w:p>
          <w:p w14:paraId="29B6B069"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Industrial revolution</w:t>
            </w:r>
          </w:p>
        </w:tc>
        <w:tc>
          <w:tcPr>
            <w:tcW w:w="1692" w:type="dxa"/>
          </w:tcPr>
          <w:p w14:paraId="609A7CB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lastRenderedPageBreak/>
              <w:t>Patterns/changes in time</w:t>
            </w:r>
          </w:p>
          <w:p w14:paraId="21AE764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lastRenderedPageBreak/>
              <w:t>Since this time beliefs have now changed to…</w:t>
            </w:r>
          </w:p>
          <w:p w14:paraId="3CFB814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During this </w:t>
            </w:r>
            <w:proofErr w:type="gramStart"/>
            <w:r w:rsidRPr="00EB3F83">
              <w:rPr>
                <w:rFonts w:ascii="Calibri" w:eastAsia="Calibri" w:hAnsi="Calibri" w:cs="Calibri"/>
                <w:kern w:val="0"/>
                <w:sz w:val="22"/>
                <w:szCs w:val="22"/>
                <w:lang w:eastAsia="en-GB"/>
                <w14:ligatures w14:val="none"/>
              </w:rPr>
              <w:t>era</w:t>
            </w:r>
            <w:proofErr w:type="gramEnd"/>
            <w:r w:rsidRPr="00EB3F83">
              <w:rPr>
                <w:rFonts w:ascii="Calibri" w:eastAsia="Calibri" w:hAnsi="Calibri" w:cs="Calibri"/>
                <w:kern w:val="0"/>
                <w:sz w:val="22"/>
                <w:szCs w:val="22"/>
                <w:lang w:eastAsia="en-GB"/>
                <w14:ligatures w14:val="none"/>
              </w:rPr>
              <w:t xml:space="preserve"> it was believed that …</w:t>
            </w:r>
          </w:p>
          <w:p w14:paraId="179BE06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The text exposes the … of the time.</w:t>
            </w:r>
          </w:p>
        </w:tc>
        <w:tc>
          <w:tcPr>
            <w:tcW w:w="1656" w:type="dxa"/>
          </w:tcPr>
          <w:p w14:paraId="51FBC3AD"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lastRenderedPageBreak/>
              <w:t xml:space="preserve">Develop understanding </w:t>
            </w:r>
            <w:r w:rsidRPr="00EB3F83">
              <w:rPr>
                <w:rFonts w:ascii="Calibri" w:eastAsia="Calibri" w:hAnsi="Calibri" w:cs="Calibri"/>
                <w:kern w:val="0"/>
                <w:sz w:val="22"/>
                <w:szCs w:val="22"/>
                <w:lang w:eastAsia="en-GB"/>
                <w14:ligatures w14:val="none"/>
              </w:rPr>
              <w:lastRenderedPageBreak/>
              <w:t>of 19</w:t>
            </w:r>
            <w:r w:rsidRPr="00EB3F83">
              <w:rPr>
                <w:rFonts w:ascii="Calibri" w:eastAsia="Calibri" w:hAnsi="Calibri" w:cs="Calibri"/>
                <w:kern w:val="0"/>
                <w:sz w:val="22"/>
                <w:szCs w:val="22"/>
                <w:vertAlign w:val="superscript"/>
                <w:lang w:eastAsia="en-GB"/>
                <w14:ligatures w14:val="none"/>
              </w:rPr>
              <w:t>th</w:t>
            </w:r>
            <w:r w:rsidRPr="00EB3F83">
              <w:rPr>
                <w:rFonts w:ascii="Calibri" w:eastAsia="Calibri" w:hAnsi="Calibri" w:cs="Calibri"/>
                <w:kern w:val="0"/>
                <w:sz w:val="22"/>
                <w:szCs w:val="22"/>
                <w:lang w:eastAsia="en-GB"/>
                <w14:ligatures w14:val="none"/>
              </w:rPr>
              <w:t xml:space="preserve"> Century British society, culture and norms.</w:t>
            </w:r>
          </w:p>
          <w:p w14:paraId="428EA6E7"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Express an understanding of the developments of society, culture and norms. </w:t>
            </w:r>
          </w:p>
          <w:p w14:paraId="75A5CAB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Contrast the society, culture and norms of the 19</w:t>
            </w:r>
            <w:r w:rsidRPr="00EB3F83">
              <w:rPr>
                <w:rFonts w:ascii="Calibri" w:eastAsia="Calibri" w:hAnsi="Calibri" w:cs="Calibri"/>
                <w:kern w:val="0"/>
                <w:sz w:val="22"/>
                <w:szCs w:val="22"/>
                <w:vertAlign w:val="superscript"/>
                <w:lang w:eastAsia="en-GB"/>
                <w14:ligatures w14:val="none"/>
              </w:rPr>
              <w:t>th</w:t>
            </w:r>
            <w:r w:rsidRPr="00EB3F83">
              <w:rPr>
                <w:rFonts w:ascii="Calibri" w:eastAsia="Calibri" w:hAnsi="Calibri" w:cs="Calibri"/>
                <w:kern w:val="0"/>
                <w:sz w:val="22"/>
                <w:szCs w:val="22"/>
                <w:lang w:eastAsia="en-GB"/>
                <w14:ligatures w14:val="none"/>
              </w:rPr>
              <w:t xml:space="preserve"> century to modern society.</w:t>
            </w:r>
          </w:p>
          <w:p w14:paraId="745E2C9C"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Understand the factors that have developed changes in our society, culture and norms.</w:t>
            </w:r>
            <w:r w:rsidRPr="00EB3F83">
              <w:rPr>
                <w:rFonts w:ascii="Calibri" w:eastAsia="Calibri" w:hAnsi="Calibri" w:cs="Calibri"/>
                <w:kern w:val="0"/>
                <w:sz w:val="22"/>
                <w:szCs w:val="22"/>
                <w:lang w:eastAsia="en-GB"/>
                <w14:ligatures w14:val="none"/>
              </w:rPr>
              <w:t xml:space="preserve"> </w:t>
            </w:r>
          </w:p>
        </w:tc>
        <w:tc>
          <w:tcPr>
            <w:tcW w:w="1410" w:type="dxa"/>
          </w:tcPr>
          <w:p w14:paraId="5BE258F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lastRenderedPageBreak/>
              <w:t>Historical significance</w:t>
            </w:r>
          </w:p>
          <w:p w14:paraId="157C55D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lastRenderedPageBreak/>
              <w:t>Impact</w:t>
            </w:r>
          </w:p>
          <w:p w14:paraId="5DF6364E"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Interpretation</w:t>
            </w:r>
          </w:p>
          <w:p w14:paraId="498E2B5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Perspective</w:t>
            </w:r>
          </w:p>
          <w:p w14:paraId="6E20D29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Patterns in history</w:t>
            </w:r>
          </w:p>
        </w:tc>
        <w:tc>
          <w:tcPr>
            <w:tcW w:w="1480" w:type="dxa"/>
          </w:tcPr>
          <w:p w14:paraId="7C3BB09C"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lastRenderedPageBreak/>
              <w:t>Poverty</w:t>
            </w:r>
          </w:p>
          <w:p w14:paraId="18F3551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lastRenderedPageBreak/>
              <w:t>Social responsibilities</w:t>
            </w:r>
            <w:r w:rsidRPr="00EB3F83">
              <w:rPr>
                <w:rFonts w:ascii="Calibri" w:eastAsia="Calibri" w:hAnsi="Calibri" w:cs="Calibri"/>
                <w:kern w:val="0"/>
                <w:sz w:val="22"/>
                <w:szCs w:val="22"/>
                <w:lang w:eastAsia="en-GB"/>
                <w14:ligatures w14:val="none"/>
              </w:rPr>
              <w:t xml:space="preserve"> </w:t>
            </w:r>
          </w:p>
          <w:p w14:paraId="4A136BE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Concepts of power</w:t>
            </w:r>
          </w:p>
          <w:p w14:paraId="661E767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Class systems</w:t>
            </w:r>
          </w:p>
          <w:p w14:paraId="39B4C539"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Understanding of older English language styles</w:t>
            </w:r>
          </w:p>
          <w:p w14:paraId="66FEE270"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Wide contextual understanding for unseen language paper</w:t>
            </w:r>
          </w:p>
          <w:p w14:paraId="5B41CE8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r>
      <w:tr w:rsidR="00EB3F83" w:rsidRPr="00EB3F83" w14:paraId="3A6CDBBE" w14:textId="77777777" w:rsidTr="00EB3F83">
        <w:trPr>
          <w:trHeight w:val="204"/>
        </w:trPr>
        <w:tc>
          <w:tcPr>
            <w:tcW w:w="1580" w:type="dxa"/>
          </w:tcPr>
          <w:p w14:paraId="325D83A1"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lastRenderedPageBreak/>
              <w:t>Gothic –</w:t>
            </w:r>
          </w:p>
          <w:p w14:paraId="488F92E7" w14:textId="77777777" w:rsidR="00EB3F83" w:rsidRPr="00EB3F83" w:rsidRDefault="00EB3F83" w:rsidP="00EB3F83">
            <w:pPr>
              <w:spacing w:after="0" w:line="240" w:lineRule="auto"/>
              <w:rPr>
                <w:rFonts w:ascii="Calibri" w:eastAsia="Calibri" w:hAnsi="Calibri" w:cs="Calibri"/>
                <w:b/>
                <w:kern w:val="0"/>
                <w:sz w:val="22"/>
                <w:szCs w:val="22"/>
                <w:lang w:eastAsia="en-GB"/>
                <w14:ligatures w14:val="none"/>
              </w:rPr>
            </w:pPr>
            <w:r w:rsidRPr="00EB3F83">
              <w:rPr>
                <w:rFonts w:ascii="Calibri" w:eastAsia="Calibri" w:hAnsi="Calibri" w:cs="Calibri"/>
                <w:b/>
                <w:kern w:val="0"/>
                <w:sz w:val="22"/>
                <w:szCs w:val="22"/>
                <w:lang w:eastAsia="en-GB"/>
                <w14:ligatures w14:val="none"/>
              </w:rPr>
              <w:t>Year 7</w:t>
            </w:r>
          </w:p>
        </w:tc>
        <w:tc>
          <w:tcPr>
            <w:tcW w:w="1379" w:type="dxa"/>
          </w:tcPr>
          <w:p w14:paraId="47037279"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Romanticism </w:t>
            </w:r>
          </w:p>
          <w:p w14:paraId="6A4B5B87"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Transgression</w:t>
            </w:r>
          </w:p>
          <w:p w14:paraId="6803467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Gender</w:t>
            </w:r>
          </w:p>
          <w:p w14:paraId="60B46B0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Supernatural </w:t>
            </w:r>
          </w:p>
          <w:p w14:paraId="047AACC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Oppression </w:t>
            </w:r>
          </w:p>
          <w:p w14:paraId="71443CB1"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Religion </w:t>
            </w:r>
          </w:p>
          <w:p w14:paraId="61D934AE"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Science </w:t>
            </w:r>
          </w:p>
          <w:p w14:paraId="64C6E414"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Death and tragedy </w:t>
            </w:r>
          </w:p>
          <w:p w14:paraId="3D28D08C"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symbolism</w:t>
            </w:r>
          </w:p>
        </w:tc>
        <w:tc>
          <w:tcPr>
            <w:tcW w:w="1692" w:type="dxa"/>
          </w:tcPr>
          <w:p w14:paraId="61D5594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Patterns and changes in time highlight…</w:t>
            </w:r>
          </w:p>
          <w:p w14:paraId="50D00C5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In this </w:t>
            </w:r>
            <w:proofErr w:type="gramStart"/>
            <w:r w:rsidRPr="00EB3F83">
              <w:rPr>
                <w:rFonts w:ascii="Calibri" w:eastAsia="Calibri" w:hAnsi="Calibri" w:cs="Calibri"/>
                <w:kern w:val="0"/>
                <w:sz w:val="22"/>
                <w:szCs w:val="22"/>
                <w:lang w:eastAsia="en-GB"/>
                <w14:ligatures w14:val="none"/>
              </w:rPr>
              <w:t>era</w:t>
            </w:r>
            <w:proofErr w:type="gramEnd"/>
            <w:r w:rsidRPr="00EB3F83">
              <w:rPr>
                <w:rFonts w:ascii="Calibri" w:eastAsia="Calibri" w:hAnsi="Calibri" w:cs="Calibri"/>
                <w:kern w:val="0"/>
                <w:sz w:val="22"/>
                <w:szCs w:val="22"/>
                <w:lang w:eastAsia="en-GB"/>
                <w14:ligatures w14:val="none"/>
              </w:rPr>
              <w:t xml:space="preserve"> it was believed… </w:t>
            </w:r>
          </w:p>
          <w:p w14:paraId="5876E509"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The symbolism which is explored…. </w:t>
            </w:r>
          </w:p>
          <w:p w14:paraId="643D6C46"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The oppressive nature of society is signified… </w:t>
            </w:r>
          </w:p>
        </w:tc>
        <w:tc>
          <w:tcPr>
            <w:tcW w:w="1656" w:type="dxa"/>
          </w:tcPr>
          <w:p w14:paraId="236FA9C0" w14:textId="77777777" w:rsidR="00EB3F83" w:rsidRPr="00EB3F83" w:rsidRDefault="00EB3F83" w:rsidP="00EB3F83">
            <w:pPr>
              <w:spacing w:after="0" w:line="240" w:lineRule="auto"/>
              <w:rPr>
                <w:rFonts w:ascii="Calibri" w:eastAsia="Calibri" w:hAnsi="Calibri" w:cs="Calibri"/>
                <w:kern w:val="0"/>
                <w:sz w:val="22"/>
                <w:szCs w:val="22"/>
                <w:highlight w:val="yellow"/>
                <w:lang w:eastAsia="en-GB"/>
                <w14:ligatures w14:val="none"/>
              </w:rPr>
            </w:pPr>
            <w:r w:rsidRPr="00EB3F83">
              <w:rPr>
                <w:rFonts w:ascii="Calibri" w:eastAsia="Calibri" w:hAnsi="Calibri" w:cs="Calibri"/>
                <w:kern w:val="0"/>
                <w:sz w:val="22"/>
                <w:szCs w:val="22"/>
                <w:highlight w:val="yellow"/>
                <w:lang w:eastAsia="en-GB"/>
                <w14:ligatures w14:val="none"/>
              </w:rPr>
              <w:t xml:space="preserve">Develop awareness/ </w:t>
            </w:r>
          </w:p>
          <w:p w14:paraId="0DCFE8F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Understanding today’s society</w:t>
            </w:r>
            <w:r w:rsidRPr="00EB3F83">
              <w:rPr>
                <w:rFonts w:ascii="Calibri" w:eastAsia="Calibri" w:hAnsi="Calibri" w:cs="Calibri"/>
                <w:kern w:val="0"/>
                <w:sz w:val="22"/>
                <w:szCs w:val="22"/>
                <w:lang w:eastAsia="en-GB"/>
                <w14:ligatures w14:val="none"/>
              </w:rPr>
              <w:t xml:space="preserve"> </w:t>
            </w:r>
          </w:p>
          <w:p w14:paraId="7C28363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Understanding the literary movement of the time </w:t>
            </w:r>
          </w:p>
          <w:p w14:paraId="2DB600C7"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Identifying how it has impacted later genres </w:t>
            </w:r>
          </w:p>
          <w:p w14:paraId="3A48AFBB"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Understanding archaic language </w:t>
            </w:r>
          </w:p>
          <w:p w14:paraId="118A5FD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c>
          <w:tcPr>
            <w:tcW w:w="1410" w:type="dxa"/>
          </w:tcPr>
          <w:p w14:paraId="048AA85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Perspective</w:t>
            </w:r>
          </w:p>
          <w:p w14:paraId="566831F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Interpretation</w:t>
            </w:r>
          </w:p>
          <w:p w14:paraId="7652E62A"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Significance </w:t>
            </w:r>
          </w:p>
          <w:p w14:paraId="6554D3FD"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Impacts </w:t>
            </w:r>
          </w:p>
          <w:p w14:paraId="02557F2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p w14:paraId="24FAF63F"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p>
        </w:tc>
        <w:tc>
          <w:tcPr>
            <w:tcW w:w="1480" w:type="dxa"/>
          </w:tcPr>
          <w:p w14:paraId="4AC59FE3"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highlight w:val="yellow"/>
                <w:lang w:eastAsia="en-GB"/>
                <w14:ligatures w14:val="none"/>
              </w:rPr>
              <w:t>Social responsibilities</w:t>
            </w:r>
          </w:p>
          <w:p w14:paraId="1A939F82"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Religious conflict </w:t>
            </w:r>
          </w:p>
          <w:p w14:paraId="2C5B021D" w14:textId="77777777" w:rsidR="00EB3F83" w:rsidRPr="00EB3F83" w:rsidRDefault="00EB3F83" w:rsidP="00EB3F83">
            <w:pPr>
              <w:spacing w:after="0" w:line="240" w:lineRule="auto"/>
              <w:rPr>
                <w:rFonts w:ascii="Calibri" w:eastAsia="Calibri" w:hAnsi="Calibri" w:cs="Calibri"/>
                <w:kern w:val="0"/>
                <w:sz w:val="22"/>
                <w:szCs w:val="22"/>
                <w:lang w:eastAsia="en-GB"/>
                <w14:ligatures w14:val="none"/>
              </w:rPr>
            </w:pPr>
            <w:r w:rsidRPr="00EB3F83">
              <w:rPr>
                <w:rFonts w:ascii="Calibri" w:eastAsia="Calibri" w:hAnsi="Calibri" w:cs="Calibri"/>
                <w:kern w:val="0"/>
                <w:sz w:val="22"/>
                <w:szCs w:val="22"/>
                <w:lang w:eastAsia="en-GB"/>
                <w14:ligatures w14:val="none"/>
              </w:rPr>
              <w:t xml:space="preserve">Science and technological advances </w:t>
            </w:r>
          </w:p>
        </w:tc>
      </w:tr>
    </w:tbl>
    <w:p w14:paraId="7D36CD41" w14:textId="77777777" w:rsidR="00EB3F83" w:rsidRPr="00EB3F83" w:rsidRDefault="00EB3F83" w:rsidP="00EB3F83">
      <w:pPr>
        <w:spacing w:line="259" w:lineRule="auto"/>
        <w:jc w:val="both"/>
        <w:rPr>
          <w:rFonts w:ascii="Century Gothic" w:eastAsia="Century Gothic" w:hAnsi="Century Gothic" w:cs="Century Gothic"/>
          <w:kern w:val="0"/>
          <w:lang w:eastAsia="en-GB"/>
          <w14:ligatures w14:val="none"/>
        </w:rPr>
      </w:pPr>
    </w:p>
    <w:p w14:paraId="3A6D3086"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p>
    <w:p w14:paraId="09EB4C8A"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p>
    <w:p w14:paraId="22E40507"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p>
    <w:p w14:paraId="20A1AE8B"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p>
    <w:p w14:paraId="75B1CB88"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p>
    <w:p w14:paraId="40DA13B9" w14:textId="77777777" w:rsidR="00EB3F83" w:rsidRPr="00EB3F83" w:rsidRDefault="00EB3F83" w:rsidP="00EB3F83">
      <w:pPr>
        <w:spacing w:line="259" w:lineRule="auto"/>
        <w:jc w:val="both"/>
        <w:rPr>
          <w:rFonts w:ascii="Century Gothic" w:eastAsia="Century Gothic" w:hAnsi="Century Gothic" w:cs="Century Gothic"/>
          <w:b/>
          <w:kern w:val="0"/>
          <w:lang w:eastAsia="en-GB"/>
          <w14:ligatures w14:val="none"/>
        </w:rPr>
      </w:pPr>
    </w:p>
    <w:p w14:paraId="4B8E8857" w14:textId="77777777" w:rsidR="00910EEA" w:rsidRDefault="00910EEA"/>
    <w:sectPr w:rsidR="00910E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F83"/>
    <w:rsid w:val="00096D08"/>
    <w:rsid w:val="00910EEA"/>
    <w:rsid w:val="00E14E4B"/>
    <w:rsid w:val="00EB3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1B84"/>
  <w15:chartTrackingRefBased/>
  <w15:docId w15:val="{9777C680-6876-41C2-9238-6FA39E67A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F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F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F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F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F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F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F83"/>
    <w:rPr>
      <w:rFonts w:eastAsiaTheme="majorEastAsia" w:cstheme="majorBidi"/>
      <w:color w:val="272727" w:themeColor="text1" w:themeTint="D8"/>
    </w:rPr>
  </w:style>
  <w:style w:type="paragraph" w:styleId="Title">
    <w:name w:val="Title"/>
    <w:basedOn w:val="Normal"/>
    <w:next w:val="Normal"/>
    <w:link w:val="TitleChar"/>
    <w:uiPriority w:val="10"/>
    <w:qFormat/>
    <w:rsid w:val="00EB3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F83"/>
    <w:pPr>
      <w:spacing w:before="160"/>
      <w:jc w:val="center"/>
    </w:pPr>
    <w:rPr>
      <w:i/>
      <w:iCs/>
      <w:color w:val="404040" w:themeColor="text1" w:themeTint="BF"/>
    </w:rPr>
  </w:style>
  <w:style w:type="character" w:customStyle="1" w:styleId="QuoteChar">
    <w:name w:val="Quote Char"/>
    <w:basedOn w:val="DefaultParagraphFont"/>
    <w:link w:val="Quote"/>
    <w:uiPriority w:val="29"/>
    <w:rsid w:val="00EB3F83"/>
    <w:rPr>
      <w:i/>
      <w:iCs/>
      <w:color w:val="404040" w:themeColor="text1" w:themeTint="BF"/>
    </w:rPr>
  </w:style>
  <w:style w:type="paragraph" w:styleId="ListParagraph">
    <w:name w:val="List Paragraph"/>
    <w:basedOn w:val="Normal"/>
    <w:uiPriority w:val="34"/>
    <w:qFormat/>
    <w:rsid w:val="00EB3F83"/>
    <w:pPr>
      <w:ind w:left="720"/>
      <w:contextualSpacing/>
    </w:pPr>
  </w:style>
  <w:style w:type="character" w:styleId="IntenseEmphasis">
    <w:name w:val="Intense Emphasis"/>
    <w:basedOn w:val="DefaultParagraphFont"/>
    <w:uiPriority w:val="21"/>
    <w:qFormat/>
    <w:rsid w:val="00EB3F83"/>
    <w:rPr>
      <w:i/>
      <w:iCs/>
      <w:color w:val="0F4761" w:themeColor="accent1" w:themeShade="BF"/>
    </w:rPr>
  </w:style>
  <w:style w:type="paragraph" w:styleId="IntenseQuote">
    <w:name w:val="Intense Quote"/>
    <w:basedOn w:val="Normal"/>
    <w:next w:val="Normal"/>
    <w:link w:val="IntenseQuoteChar"/>
    <w:uiPriority w:val="30"/>
    <w:qFormat/>
    <w:rsid w:val="00EB3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F83"/>
    <w:rPr>
      <w:i/>
      <w:iCs/>
      <w:color w:val="0F4761" w:themeColor="accent1" w:themeShade="BF"/>
    </w:rPr>
  </w:style>
  <w:style w:type="character" w:styleId="IntenseReference">
    <w:name w:val="Intense Reference"/>
    <w:basedOn w:val="DefaultParagraphFont"/>
    <w:uiPriority w:val="32"/>
    <w:qFormat/>
    <w:rsid w:val="00EB3F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0292851ACA9644A121845350BB5F54" ma:contentTypeVersion="10" ma:contentTypeDescription="Create a new document." ma:contentTypeScope="" ma:versionID="1ed6c4c8bba874765d7405b59b4b7075">
  <xsd:schema xmlns:xsd="http://www.w3.org/2001/XMLSchema" xmlns:xs="http://www.w3.org/2001/XMLSchema" xmlns:p="http://schemas.microsoft.com/office/2006/metadata/properties" xmlns:ns2="f71f9fc4-5eb2-4543-a763-2cda11066b53" xmlns:ns3="af7ca69a-4d5e-4b8c-be50-bb0b1d332dcf" targetNamespace="http://schemas.microsoft.com/office/2006/metadata/properties" ma:root="true" ma:fieldsID="6e400206facbd7d905e831538d26e420" ns2:_="" ns3:_="">
    <xsd:import namespace="f71f9fc4-5eb2-4543-a763-2cda11066b53"/>
    <xsd:import namespace="af7ca69a-4d5e-4b8c-be50-bb0b1d332d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1f9fc4-5eb2-4543-a763-2cda11066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5bf9953-8987-4cca-be41-8352360f8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7ca69a-4d5e-4b8c-be50-bb0b1d332d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0c635c-2b1c-4ec7-bf49-f2defbe4e04d}" ma:internalName="TaxCatchAll" ma:showField="CatchAllData" ma:web="af7ca69a-4d5e-4b8c-be50-bb0b1d332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1f9fc4-5eb2-4543-a763-2cda11066b53">
      <Terms xmlns="http://schemas.microsoft.com/office/infopath/2007/PartnerControls"/>
    </lcf76f155ced4ddcb4097134ff3c332f>
    <TaxCatchAll xmlns="af7ca69a-4d5e-4b8c-be50-bb0b1d332dcf" xsi:nil="true"/>
  </documentManagement>
</p:properties>
</file>

<file path=customXml/itemProps1.xml><?xml version="1.0" encoding="utf-8"?>
<ds:datastoreItem xmlns:ds="http://schemas.openxmlformats.org/officeDocument/2006/customXml" ds:itemID="{5660A66D-EADC-4C09-8E79-7830AADF5E9A}"/>
</file>

<file path=customXml/itemProps2.xml><?xml version="1.0" encoding="utf-8"?>
<ds:datastoreItem xmlns:ds="http://schemas.openxmlformats.org/officeDocument/2006/customXml" ds:itemID="{C0C274AA-9704-44EC-8A24-BBDFD30739F4}"/>
</file>

<file path=customXml/itemProps3.xml><?xml version="1.0" encoding="utf-8"?>
<ds:datastoreItem xmlns:ds="http://schemas.openxmlformats.org/officeDocument/2006/customXml" ds:itemID="{5F3339C8-B88B-4DFD-911F-E8C3E5635EE6}"/>
</file>

<file path=docProps/app.xml><?xml version="1.0" encoding="utf-8"?>
<Properties xmlns="http://schemas.openxmlformats.org/officeDocument/2006/extended-properties" xmlns:vt="http://schemas.openxmlformats.org/officeDocument/2006/docPropsVTypes">
  <Template>Normal</Template>
  <TotalTime>0</TotalTime>
  <Pages>4</Pages>
  <Words>1196</Words>
  <Characters>6822</Characters>
  <Application>Microsoft Office Word</Application>
  <DocSecurity>0</DocSecurity>
  <Lines>56</Lines>
  <Paragraphs>16</Paragraphs>
  <ScaleCrop>false</ScaleCrop>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Hagan</dc:creator>
  <cp:keywords/>
  <dc:description/>
  <cp:lastModifiedBy>Lisa Hagan</cp:lastModifiedBy>
  <cp:revision>1</cp:revision>
  <dcterms:created xsi:type="dcterms:W3CDTF">2026-06-22T13:36:00Z</dcterms:created>
  <dcterms:modified xsi:type="dcterms:W3CDTF">2026-06-22T13:38:00Z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0x010100BE0292851ACA9644A121845350BB5F54</vt:lpwstr>
  </property>
</Properties>
</file>